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79" w:rsidRPr="00725E2B" w:rsidRDefault="008E3779" w:rsidP="008E3779">
      <w:pPr>
        <w:pStyle w:val="Default"/>
        <w:jc w:val="center"/>
        <w:rPr>
          <w:b/>
          <w:sz w:val="28"/>
          <w:szCs w:val="28"/>
        </w:rPr>
      </w:pPr>
      <w:r w:rsidRPr="00725E2B">
        <w:rPr>
          <w:b/>
          <w:sz w:val="28"/>
          <w:szCs w:val="28"/>
        </w:rPr>
        <w:t>République du Niger</w:t>
      </w:r>
    </w:p>
    <w:p w:rsidR="008E3779" w:rsidRPr="008E3779" w:rsidRDefault="008E3779" w:rsidP="008E3779">
      <w:pPr>
        <w:pStyle w:val="Default"/>
        <w:jc w:val="center"/>
        <w:rPr>
          <w:sz w:val="28"/>
          <w:szCs w:val="28"/>
        </w:rPr>
      </w:pPr>
      <w:r w:rsidRPr="008E3779">
        <w:rPr>
          <w:sz w:val="28"/>
          <w:szCs w:val="28"/>
        </w:rPr>
        <w:t>Cabinet du Premier Ministre</w:t>
      </w:r>
    </w:p>
    <w:p w:rsidR="008E3779" w:rsidRPr="008E3779" w:rsidRDefault="008E3779" w:rsidP="008E3779">
      <w:pPr>
        <w:pStyle w:val="Default"/>
        <w:jc w:val="center"/>
        <w:rPr>
          <w:sz w:val="28"/>
          <w:szCs w:val="28"/>
        </w:rPr>
      </w:pPr>
      <w:r w:rsidRPr="008E3779">
        <w:rPr>
          <w:sz w:val="28"/>
          <w:szCs w:val="28"/>
        </w:rPr>
        <w:t>Conseil National de la Recherche agronomique du Niger (CNRA)</w:t>
      </w:r>
    </w:p>
    <w:p w:rsidR="008E3779" w:rsidRDefault="008E3779" w:rsidP="008E3779">
      <w:pPr>
        <w:pStyle w:val="Default"/>
        <w:jc w:val="right"/>
        <w:rPr>
          <w:rFonts w:ascii="Calibri" w:eastAsia="Calibri" w:hAnsi="Calibri" w:cs="Times New Roman"/>
          <w:noProof/>
          <w:color w:val="auto"/>
          <w:sz w:val="22"/>
          <w:szCs w:val="22"/>
          <w:lang w:eastAsia="fr-FR"/>
        </w:rPr>
      </w:pPr>
      <w:r w:rsidRPr="008E3779">
        <w:rPr>
          <w:rFonts w:ascii="Calibri" w:eastAsia="Calibri" w:hAnsi="Calibri" w:cs="Times New Roman"/>
          <w:noProof/>
          <w:color w:val="auto"/>
          <w:sz w:val="22"/>
          <w:szCs w:val="22"/>
          <w:lang w:eastAsia="fr-FR"/>
        </w:rPr>
        <w:drawing>
          <wp:anchor distT="36576" distB="36576" distL="36576" distR="36576" simplePos="0" relativeHeight="251659264" behindDoc="0" locked="0" layoutInCell="1" allowOverlap="1" wp14:anchorId="221AC650" wp14:editId="78369DC9">
            <wp:simplePos x="0" y="0"/>
            <wp:positionH relativeFrom="column">
              <wp:posOffset>52705</wp:posOffset>
            </wp:positionH>
            <wp:positionV relativeFrom="paragraph">
              <wp:posOffset>473075</wp:posOffset>
            </wp:positionV>
            <wp:extent cx="1238250" cy="1038225"/>
            <wp:effectExtent l="152400" t="133350" r="323850" b="295275"/>
            <wp:wrapNone/>
            <wp:docPr id="2"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6" cstate="print"/>
                    <a:srcRect/>
                    <a:stretch>
                      <a:fillRect/>
                    </a:stretch>
                  </pic:blipFill>
                  <pic:spPr bwMode="auto">
                    <a:xfrm>
                      <a:off x="0" y="0"/>
                      <a:ext cx="1238250" cy="10382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8E3779">
        <w:rPr>
          <w:rFonts w:ascii="Calibri" w:eastAsia="Calibri" w:hAnsi="Calibri" w:cs="Times New Roman"/>
          <w:noProof/>
          <w:color w:val="auto"/>
          <w:sz w:val="22"/>
          <w:szCs w:val="22"/>
          <w:lang w:eastAsia="fr-FR"/>
        </w:rPr>
        <w:t xml:space="preserve"> </w:t>
      </w:r>
      <w:r>
        <w:rPr>
          <w:rFonts w:ascii="Calibri" w:eastAsia="Calibri" w:hAnsi="Calibri" w:cs="Times New Roman"/>
          <w:noProof/>
          <w:color w:val="auto"/>
          <w:sz w:val="22"/>
          <w:szCs w:val="22"/>
          <w:lang w:eastAsia="fr-FR"/>
        </w:rPr>
        <w:t xml:space="preserve"> </w:t>
      </w:r>
    </w:p>
    <w:p w:rsidR="008E3779" w:rsidRDefault="008E3779" w:rsidP="008E3779">
      <w:pPr>
        <w:pStyle w:val="Default"/>
        <w:jc w:val="right"/>
        <w:rPr>
          <w:rFonts w:ascii="Calibri" w:eastAsia="Calibri" w:hAnsi="Calibri" w:cs="Times New Roman"/>
          <w:noProof/>
          <w:color w:val="auto"/>
          <w:sz w:val="22"/>
          <w:szCs w:val="22"/>
          <w:lang w:eastAsia="fr-FR"/>
        </w:rPr>
      </w:pPr>
    </w:p>
    <w:p w:rsidR="008E3779" w:rsidRDefault="008E3779" w:rsidP="008E3779">
      <w:pPr>
        <w:pStyle w:val="Default"/>
        <w:jc w:val="right"/>
        <w:rPr>
          <w:rFonts w:ascii="Calibri" w:eastAsia="Calibri" w:hAnsi="Calibri" w:cs="Times New Roman"/>
          <w:noProof/>
          <w:color w:val="auto"/>
          <w:sz w:val="22"/>
          <w:szCs w:val="22"/>
          <w:lang w:eastAsia="fr-FR"/>
        </w:rPr>
      </w:pPr>
    </w:p>
    <w:p w:rsidR="008E3779" w:rsidRPr="008E3779" w:rsidRDefault="008E3779" w:rsidP="008E3779">
      <w:pPr>
        <w:pStyle w:val="Default"/>
        <w:jc w:val="right"/>
        <w:rPr>
          <w:rFonts w:ascii="Times New Roman" w:hAnsi="Times New Roman" w:cs="Times New Roman"/>
          <w:sz w:val="23"/>
          <w:szCs w:val="23"/>
        </w:rPr>
      </w:pPr>
      <w:r>
        <w:rPr>
          <w:rFonts w:ascii="Calibri" w:eastAsia="Calibri" w:hAnsi="Calibri" w:cs="Times New Roman"/>
          <w:noProof/>
          <w:color w:val="auto"/>
          <w:sz w:val="22"/>
          <w:szCs w:val="22"/>
          <w:lang w:eastAsia="fr-FR"/>
        </w:rPr>
        <w:t xml:space="preserve">     </w:t>
      </w:r>
      <w:r w:rsidRPr="008E3779">
        <w:rPr>
          <w:rFonts w:ascii="Calibri" w:eastAsia="Calibri" w:hAnsi="Calibri" w:cs="Times New Roman"/>
          <w:noProof/>
          <w:color w:val="auto"/>
          <w:sz w:val="22"/>
          <w:szCs w:val="22"/>
          <w:lang w:eastAsia="fr-FR"/>
        </w:rPr>
        <w:drawing>
          <wp:inline distT="0" distB="0" distL="0" distR="0" wp14:anchorId="0215A0FC" wp14:editId="12CD948E">
            <wp:extent cx="1343025" cy="895350"/>
            <wp:effectExtent l="0" t="0" r="0" b="0"/>
            <wp:docPr id="3"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7"/>
                    <a:srcRect/>
                    <a:stretch>
                      <a:fillRect/>
                    </a:stretch>
                  </pic:blipFill>
                  <pic:spPr bwMode="auto">
                    <a:xfrm>
                      <a:off x="0" y="0"/>
                      <a:ext cx="1363710" cy="909140"/>
                    </a:xfrm>
                    <a:prstGeom prst="rect">
                      <a:avLst/>
                    </a:prstGeom>
                    <a:noFill/>
                    <a:ln w="9525">
                      <a:noFill/>
                      <a:miter lim="800000"/>
                      <a:headEnd/>
                      <a:tailEnd/>
                    </a:ln>
                  </pic:spPr>
                </pic:pic>
              </a:graphicData>
            </a:graphic>
          </wp:inline>
        </w:drawing>
      </w:r>
    </w:p>
    <w:p w:rsidR="008E3779" w:rsidRDefault="008E3779" w:rsidP="008E3779">
      <w:pPr>
        <w:pStyle w:val="Default"/>
        <w:rPr>
          <w:sz w:val="40"/>
          <w:szCs w:val="40"/>
        </w:rPr>
      </w:pPr>
    </w:p>
    <w:p w:rsidR="008E3779" w:rsidRDefault="008E3779" w:rsidP="008E3779">
      <w:pPr>
        <w:pStyle w:val="Default"/>
        <w:rPr>
          <w:sz w:val="40"/>
          <w:szCs w:val="40"/>
        </w:rPr>
      </w:pPr>
    </w:p>
    <w:p w:rsidR="008E3779" w:rsidRDefault="008E3779"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40"/>
          <w:szCs w:val="40"/>
        </w:rPr>
      </w:pPr>
      <w:r>
        <w:rPr>
          <w:sz w:val="40"/>
          <w:szCs w:val="40"/>
        </w:rPr>
        <w:t>Appel à propositions de projets de Recherche</w:t>
      </w:r>
      <w:r w:rsidR="00BC381E">
        <w:rPr>
          <w:sz w:val="40"/>
          <w:szCs w:val="40"/>
        </w:rPr>
        <w:t xml:space="preserve"> adaptative </w:t>
      </w:r>
    </w:p>
    <w:p w:rsidR="00BC381E" w:rsidRDefault="00BC381E"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40"/>
          <w:szCs w:val="40"/>
        </w:rPr>
      </w:pPr>
    </w:p>
    <w:p w:rsidR="00526C53" w:rsidRDefault="005422DE"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32"/>
          <w:szCs w:val="32"/>
        </w:rPr>
      </w:pPr>
      <w:r>
        <w:rPr>
          <w:i/>
          <w:iCs/>
          <w:sz w:val="32"/>
          <w:szCs w:val="32"/>
        </w:rPr>
        <w:t>Edition 2018</w:t>
      </w:r>
    </w:p>
    <w:p w:rsidR="00526C53" w:rsidRDefault="00526C53"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32"/>
          <w:szCs w:val="32"/>
        </w:rPr>
      </w:pPr>
    </w:p>
    <w:p w:rsidR="008E3779" w:rsidRDefault="00526C53"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32"/>
          <w:szCs w:val="32"/>
        </w:rPr>
      </w:pPr>
      <w:r>
        <w:rPr>
          <w:sz w:val="32"/>
          <w:szCs w:val="32"/>
        </w:rPr>
        <w:t xml:space="preserve">Date d’ouverture </w:t>
      </w:r>
      <w:r w:rsidR="00896A7B">
        <w:rPr>
          <w:sz w:val="32"/>
          <w:szCs w:val="32"/>
        </w:rPr>
        <w:t xml:space="preserve"> 08 Aout </w:t>
      </w:r>
      <w:r w:rsidR="005422DE">
        <w:rPr>
          <w:sz w:val="32"/>
          <w:szCs w:val="32"/>
        </w:rPr>
        <w:t xml:space="preserve">   2018</w:t>
      </w:r>
      <w:r w:rsidR="008E3779">
        <w:rPr>
          <w:sz w:val="32"/>
          <w:szCs w:val="32"/>
        </w:rPr>
        <w:t xml:space="preserve">                         </w:t>
      </w:r>
    </w:p>
    <w:p w:rsidR="008E3779" w:rsidRDefault="008E3779" w:rsidP="008E3779">
      <w:pPr>
        <w:pStyle w:val="Default"/>
        <w:rPr>
          <w:rFonts w:ascii="Copperplate Gothic Bold" w:hAnsi="Copperplate Gothic Bold" w:cs="Copperplate Gothic Bold"/>
          <w:sz w:val="32"/>
          <w:szCs w:val="32"/>
        </w:rPr>
      </w:pPr>
    </w:p>
    <w:p w:rsidR="008E3779" w:rsidRDefault="008E3779" w:rsidP="008E3779">
      <w:pPr>
        <w:pStyle w:val="Default"/>
        <w:rPr>
          <w:rFonts w:ascii="Copperplate Gothic Bold" w:hAnsi="Copperplate Gothic Bold" w:cs="Copperplate Gothic Bold"/>
          <w:sz w:val="32"/>
          <w:szCs w:val="32"/>
        </w:rPr>
      </w:pPr>
    </w:p>
    <w:p w:rsidR="008E3779" w:rsidRPr="0099112C" w:rsidRDefault="0099112C" w:rsidP="0099112C">
      <w:pPr>
        <w:pStyle w:val="Default"/>
        <w:pBdr>
          <w:top w:val="single" w:sz="4" w:space="1" w:color="auto" w:shadow="1"/>
          <w:left w:val="single" w:sz="4" w:space="4" w:color="auto" w:shadow="1"/>
          <w:bottom w:val="single" w:sz="4" w:space="1" w:color="auto" w:shadow="1"/>
          <w:right w:val="single" w:sz="4" w:space="4" w:color="auto" w:shadow="1"/>
        </w:pBdr>
        <w:jc w:val="center"/>
        <w:rPr>
          <w:rFonts w:ascii="Copperplate Gothic Bold" w:hAnsi="Copperplate Gothic Bold" w:cs="Copperplate Gothic Bold"/>
          <w:sz w:val="32"/>
          <w:szCs w:val="32"/>
        </w:rPr>
      </w:pPr>
      <w:r>
        <w:rPr>
          <w:rFonts w:ascii="Copperplate Gothic Bold" w:hAnsi="Copperplate Gothic Bold" w:cs="Copperplate Gothic Bold"/>
          <w:sz w:val="32"/>
          <w:szCs w:val="32"/>
        </w:rPr>
        <w:t>CULTURES : sésame</w:t>
      </w:r>
      <w:r w:rsidRPr="0099112C">
        <w:rPr>
          <w:rFonts w:ascii="Copperplate Gothic Bold" w:hAnsi="Copperplate Gothic Bold" w:cs="Copperplate Gothic Bold"/>
          <w:sz w:val="32"/>
          <w:szCs w:val="32"/>
        </w:rPr>
        <w:t>, oignon, niébé, pomme de terre, moringa</w:t>
      </w:r>
    </w:p>
    <w:p w:rsidR="00526C53" w:rsidRPr="0099112C" w:rsidRDefault="00526C53" w:rsidP="0099112C">
      <w:pPr>
        <w:pStyle w:val="Default"/>
        <w:pBdr>
          <w:top w:val="single" w:sz="4" w:space="1" w:color="auto" w:shadow="1"/>
          <w:left w:val="single" w:sz="4" w:space="4" w:color="auto" w:shadow="1"/>
          <w:bottom w:val="single" w:sz="4" w:space="1" w:color="auto" w:shadow="1"/>
          <w:right w:val="single" w:sz="4" w:space="4" w:color="auto" w:shadow="1"/>
        </w:pBdr>
        <w:rPr>
          <w:rFonts w:ascii="Copperplate Gothic Bold" w:hAnsi="Copperplate Gothic Bold" w:cs="Copperplate Gothic Bold"/>
          <w:sz w:val="32"/>
          <w:szCs w:val="32"/>
        </w:rPr>
      </w:pPr>
    </w:p>
    <w:p w:rsidR="008E3779" w:rsidRDefault="00B739DB"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36"/>
          <w:szCs w:val="36"/>
        </w:rPr>
      </w:pPr>
      <w:r>
        <w:rPr>
          <w:sz w:val="36"/>
          <w:szCs w:val="36"/>
        </w:rPr>
        <w:t>CLÔTURE</w:t>
      </w:r>
      <w:r w:rsidR="008E3779">
        <w:rPr>
          <w:sz w:val="36"/>
          <w:szCs w:val="36"/>
        </w:rPr>
        <w:t xml:space="preserve"> DE L’APPEL A PROPOSITION</w:t>
      </w:r>
    </w:p>
    <w:p w:rsidR="008E3779" w:rsidRDefault="008E3779" w:rsidP="0099112C">
      <w:pPr>
        <w:pStyle w:val="Default"/>
        <w:pBdr>
          <w:top w:val="single" w:sz="4" w:space="1" w:color="auto" w:shadow="1"/>
          <w:left w:val="single" w:sz="4" w:space="4" w:color="auto" w:shadow="1"/>
          <w:bottom w:val="single" w:sz="4" w:space="1" w:color="auto" w:shadow="1"/>
          <w:right w:val="single" w:sz="4" w:space="4" w:color="auto" w:shadow="1"/>
        </w:pBdr>
        <w:jc w:val="center"/>
        <w:rPr>
          <w:sz w:val="32"/>
          <w:szCs w:val="32"/>
        </w:rPr>
      </w:pPr>
      <w:r>
        <w:rPr>
          <w:sz w:val="32"/>
          <w:szCs w:val="32"/>
        </w:rPr>
        <w:t xml:space="preserve">Les propositions de projets doivent être adressées ou déposées au Secrétariat </w:t>
      </w:r>
      <w:r w:rsidR="0099112C">
        <w:rPr>
          <w:sz w:val="32"/>
          <w:szCs w:val="32"/>
        </w:rPr>
        <w:t xml:space="preserve">Permanent </w:t>
      </w:r>
      <w:r>
        <w:rPr>
          <w:sz w:val="32"/>
          <w:szCs w:val="32"/>
        </w:rPr>
        <w:t>du CNRA au plus tard le :</w:t>
      </w:r>
    </w:p>
    <w:p w:rsidR="0099112C" w:rsidRDefault="0099112C" w:rsidP="0099112C">
      <w:pPr>
        <w:pStyle w:val="Default"/>
        <w:pBdr>
          <w:top w:val="single" w:sz="4" w:space="1" w:color="auto" w:shadow="1"/>
          <w:left w:val="single" w:sz="4" w:space="4" w:color="auto" w:shadow="1"/>
          <w:bottom w:val="single" w:sz="4" w:space="1" w:color="auto" w:shadow="1"/>
          <w:right w:val="single" w:sz="4" w:space="4" w:color="auto" w:shadow="1"/>
        </w:pBdr>
        <w:jc w:val="center"/>
        <w:rPr>
          <w:color w:val="auto"/>
          <w:sz w:val="32"/>
          <w:szCs w:val="32"/>
        </w:rPr>
      </w:pPr>
    </w:p>
    <w:p w:rsidR="008E3779" w:rsidRPr="0099112C" w:rsidRDefault="005422DE" w:rsidP="0099112C">
      <w:pPr>
        <w:pStyle w:val="Default"/>
        <w:pBdr>
          <w:top w:val="single" w:sz="4" w:space="1" w:color="auto" w:shadow="1"/>
          <w:left w:val="single" w:sz="4" w:space="4" w:color="auto" w:shadow="1"/>
          <w:bottom w:val="single" w:sz="4" w:space="1" w:color="auto" w:shadow="1"/>
          <w:right w:val="single" w:sz="4" w:space="4" w:color="auto" w:shadow="1"/>
        </w:pBdr>
        <w:jc w:val="center"/>
        <w:rPr>
          <w:color w:val="auto"/>
          <w:sz w:val="32"/>
          <w:szCs w:val="32"/>
        </w:rPr>
      </w:pPr>
      <w:r>
        <w:rPr>
          <w:color w:val="auto"/>
          <w:sz w:val="32"/>
          <w:szCs w:val="32"/>
        </w:rPr>
        <w:t xml:space="preserve">31 </w:t>
      </w:r>
      <w:r w:rsidR="00896A7B" w:rsidRPr="00896A7B">
        <w:rPr>
          <w:color w:val="auto"/>
          <w:sz w:val="32"/>
          <w:szCs w:val="32"/>
        </w:rPr>
        <w:t>Aout</w:t>
      </w:r>
      <w:bookmarkStart w:id="0" w:name="_GoBack"/>
      <w:bookmarkEnd w:id="0"/>
      <w:r w:rsidR="00526C53" w:rsidRPr="0099112C">
        <w:rPr>
          <w:color w:val="auto"/>
          <w:sz w:val="32"/>
          <w:szCs w:val="32"/>
        </w:rPr>
        <w:t xml:space="preserve"> </w:t>
      </w:r>
      <w:r w:rsidR="008E3779" w:rsidRPr="0099112C">
        <w:rPr>
          <w:color w:val="auto"/>
          <w:sz w:val="32"/>
          <w:szCs w:val="32"/>
        </w:rPr>
        <w:t xml:space="preserve"> 201</w:t>
      </w:r>
      <w:r>
        <w:rPr>
          <w:color w:val="auto"/>
          <w:sz w:val="32"/>
          <w:szCs w:val="32"/>
        </w:rPr>
        <w:t>8</w:t>
      </w:r>
      <w:r w:rsidR="008E3779" w:rsidRPr="0099112C">
        <w:rPr>
          <w:color w:val="auto"/>
          <w:sz w:val="32"/>
          <w:szCs w:val="32"/>
        </w:rPr>
        <w:t xml:space="preserve"> à 16 heures</w:t>
      </w:r>
    </w:p>
    <w:p w:rsidR="008E3779" w:rsidRDefault="008E3779" w:rsidP="008E3779">
      <w:pPr>
        <w:pStyle w:val="Default"/>
        <w:rPr>
          <w:rFonts w:ascii="Times New Roman" w:hAnsi="Times New Roman" w:cs="Times New Roman"/>
          <w:b/>
          <w:bCs/>
          <w:sz w:val="23"/>
          <w:szCs w:val="23"/>
        </w:rPr>
      </w:pPr>
    </w:p>
    <w:p w:rsidR="008E3779" w:rsidRDefault="008E3779" w:rsidP="008E3779">
      <w:pPr>
        <w:pStyle w:val="Default"/>
        <w:rPr>
          <w:rFonts w:ascii="Times New Roman" w:hAnsi="Times New Roman" w:cs="Times New Roman"/>
          <w:b/>
          <w:bCs/>
          <w:sz w:val="23"/>
          <w:szCs w:val="23"/>
        </w:rPr>
      </w:pPr>
    </w:p>
    <w:p w:rsidR="008E3779" w:rsidRDefault="008E3779" w:rsidP="008E3779">
      <w:pPr>
        <w:pStyle w:val="Default"/>
        <w:rPr>
          <w:rFonts w:ascii="Times New Roman" w:hAnsi="Times New Roman" w:cs="Times New Roman"/>
          <w:b/>
          <w:bCs/>
          <w:sz w:val="23"/>
          <w:szCs w:val="23"/>
        </w:rPr>
      </w:pPr>
    </w:p>
    <w:p w:rsidR="008E3779" w:rsidRDefault="008E3779" w:rsidP="0099112C">
      <w:pPr>
        <w:pStyle w:val="Default"/>
        <w:pBdr>
          <w:top w:val="single" w:sz="4" w:space="1" w:color="auto" w:shadow="1"/>
          <w:left w:val="single" w:sz="4" w:space="4" w:color="auto" w:shadow="1"/>
          <w:bottom w:val="single" w:sz="4" w:space="1" w:color="auto" w:shadow="1"/>
          <w:right w:val="single" w:sz="4" w:space="4" w:color="auto" w:shadow="1"/>
        </w:pBdr>
        <w:rPr>
          <w:sz w:val="23"/>
          <w:szCs w:val="23"/>
        </w:rPr>
      </w:pPr>
      <w:r>
        <w:rPr>
          <w:rFonts w:ascii="Times New Roman" w:hAnsi="Times New Roman" w:cs="Times New Roman"/>
          <w:b/>
          <w:bCs/>
          <w:sz w:val="23"/>
          <w:szCs w:val="23"/>
        </w:rPr>
        <w:t xml:space="preserve">CONTACTS </w:t>
      </w:r>
    </w:p>
    <w:p w:rsidR="008E3779" w:rsidRDefault="008E3779" w:rsidP="0099112C">
      <w:pPr>
        <w:pStyle w:val="Default"/>
        <w:pBdr>
          <w:top w:val="single" w:sz="4" w:space="1" w:color="auto" w:shadow="1"/>
          <w:left w:val="single" w:sz="4" w:space="4" w:color="auto" w:shadow="1"/>
          <w:bottom w:val="single" w:sz="4" w:space="1" w:color="auto" w:shadow="1"/>
          <w:right w:val="single" w:sz="4" w:space="4" w:color="auto" w:shadow="1"/>
        </w:pBdr>
        <w:rPr>
          <w:sz w:val="23"/>
          <w:szCs w:val="23"/>
        </w:rPr>
      </w:pPr>
      <w:r>
        <w:rPr>
          <w:rFonts w:ascii="Times New Roman" w:hAnsi="Times New Roman" w:cs="Times New Roman"/>
          <w:b/>
          <w:bCs/>
          <w:sz w:val="23"/>
          <w:szCs w:val="23"/>
        </w:rPr>
        <w:t xml:space="preserve">Aspects scientifiques et techniques Aspects financiers et administratifs </w:t>
      </w:r>
    </w:p>
    <w:p w:rsidR="008E3779" w:rsidRDefault="0099112C" w:rsidP="0099112C">
      <w:pPr>
        <w:pStyle w:val="Default"/>
        <w:pBdr>
          <w:top w:val="single" w:sz="4" w:space="1" w:color="auto" w:shadow="1"/>
          <w:left w:val="single" w:sz="4" w:space="4" w:color="auto" w:shadow="1"/>
          <w:bottom w:val="single" w:sz="4" w:space="1" w:color="auto" w:shadow="1"/>
          <w:right w:val="single" w:sz="4" w:space="4" w:color="auto" w:shadow="1"/>
        </w:pBdr>
        <w:rPr>
          <w:sz w:val="23"/>
          <w:szCs w:val="23"/>
        </w:rPr>
      </w:pPr>
      <w:r>
        <w:rPr>
          <w:rFonts w:ascii="Times New Roman" w:hAnsi="Times New Roman" w:cs="Times New Roman"/>
          <w:b/>
          <w:bCs/>
          <w:sz w:val="23"/>
          <w:szCs w:val="23"/>
        </w:rPr>
        <w:t>D</w:t>
      </w:r>
      <w:r w:rsidR="008E3779">
        <w:rPr>
          <w:rFonts w:ascii="Times New Roman" w:hAnsi="Times New Roman" w:cs="Times New Roman"/>
          <w:b/>
          <w:bCs/>
          <w:sz w:val="23"/>
          <w:szCs w:val="23"/>
        </w:rPr>
        <w:t xml:space="preserve">r. </w:t>
      </w:r>
      <w:proofErr w:type="spellStart"/>
      <w:r w:rsidR="001212A0">
        <w:rPr>
          <w:rFonts w:ascii="Times New Roman" w:hAnsi="Times New Roman" w:cs="Times New Roman"/>
          <w:b/>
          <w:bCs/>
          <w:sz w:val="23"/>
          <w:szCs w:val="23"/>
        </w:rPr>
        <w:t>Habsatou</w:t>
      </w:r>
      <w:proofErr w:type="spellEnd"/>
      <w:r w:rsidR="001212A0">
        <w:rPr>
          <w:rFonts w:ascii="Times New Roman" w:hAnsi="Times New Roman" w:cs="Times New Roman"/>
          <w:b/>
          <w:bCs/>
          <w:sz w:val="23"/>
          <w:szCs w:val="23"/>
        </w:rPr>
        <w:t xml:space="preserve"> </w:t>
      </w:r>
      <w:proofErr w:type="spellStart"/>
      <w:r w:rsidR="001212A0">
        <w:rPr>
          <w:rFonts w:ascii="Times New Roman" w:hAnsi="Times New Roman" w:cs="Times New Roman"/>
          <w:b/>
          <w:bCs/>
          <w:sz w:val="23"/>
          <w:szCs w:val="23"/>
        </w:rPr>
        <w:t>Boukary</w:t>
      </w:r>
      <w:proofErr w:type="spellEnd"/>
      <w:r>
        <w:rPr>
          <w:rFonts w:ascii="Times New Roman" w:hAnsi="Times New Roman" w:cs="Times New Roman"/>
          <w:b/>
          <w:bCs/>
          <w:sz w:val="23"/>
          <w:szCs w:val="23"/>
        </w:rPr>
        <w:t xml:space="preserve"> </w:t>
      </w:r>
      <w:r w:rsidR="008E3779">
        <w:rPr>
          <w:rFonts w:ascii="Times New Roman" w:hAnsi="Times New Roman" w:cs="Times New Roman"/>
          <w:b/>
          <w:bCs/>
          <w:sz w:val="23"/>
          <w:szCs w:val="23"/>
        </w:rPr>
        <w:t xml:space="preserve"> </w:t>
      </w:r>
    </w:p>
    <w:p w:rsidR="008E3779" w:rsidRDefault="008E3779" w:rsidP="0099112C">
      <w:pPr>
        <w:pStyle w:val="Default"/>
        <w:pBdr>
          <w:top w:val="single" w:sz="4" w:space="1" w:color="auto" w:shadow="1"/>
          <w:left w:val="single" w:sz="4" w:space="4" w:color="auto" w:shadow="1"/>
          <w:bottom w:val="single" w:sz="4" w:space="1" w:color="auto" w:shadow="1"/>
          <w:right w:val="single" w:sz="4" w:space="4" w:color="auto" w:shadow="1"/>
        </w:pBdr>
        <w:rPr>
          <w:rFonts w:ascii="Times New Roman" w:hAnsi="Times New Roman" w:cs="Times New Roman"/>
          <w:color w:val="0000FF"/>
          <w:sz w:val="23"/>
          <w:szCs w:val="23"/>
        </w:rPr>
      </w:pPr>
      <w:r>
        <w:rPr>
          <w:rFonts w:ascii="Times New Roman" w:hAnsi="Times New Roman" w:cs="Times New Roman"/>
          <w:b/>
          <w:bCs/>
          <w:sz w:val="23"/>
          <w:szCs w:val="23"/>
        </w:rPr>
        <w:t>Tel : 002272072343</w:t>
      </w:r>
      <w:r w:rsidR="0099112C">
        <w:rPr>
          <w:rFonts w:ascii="Times New Roman" w:hAnsi="Times New Roman" w:cs="Times New Roman"/>
          <w:b/>
          <w:bCs/>
          <w:sz w:val="23"/>
          <w:szCs w:val="23"/>
        </w:rPr>
        <w:t>8</w:t>
      </w:r>
      <w:r>
        <w:rPr>
          <w:rFonts w:ascii="Times New Roman" w:hAnsi="Times New Roman" w:cs="Times New Roman"/>
          <w:b/>
          <w:bCs/>
          <w:sz w:val="23"/>
          <w:szCs w:val="23"/>
        </w:rPr>
        <w:t xml:space="preserve"> </w:t>
      </w:r>
      <w:r w:rsidR="0099112C">
        <w:rPr>
          <w:rFonts w:ascii="Times New Roman" w:hAnsi="Times New Roman" w:cs="Times New Roman"/>
          <w:b/>
          <w:bCs/>
          <w:sz w:val="23"/>
          <w:szCs w:val="23"/>
        </w:rPr>
        <w:t xml:space="preserve"> </w:t>
      </w:r>
      <w:hyperlink r:id="rId8" w:history="1">
        <w:r w:rsidR="0099112C" w:rsidRPr="0099112C">
          <w:rPr>
            <w:rStyle w:val="Lienhypertexte"/>
            <w:rFonts w:ascii="Times New Roman" w:hAnsi="Times New Roman" w:cs="Times New Roman"/>
            <w:b/>
            <w:bCs/>
            <w:sz w:val="23"/>
            <w:szCs w:val="23"/>
          </w:rPr>
          <w:t>bhamsatou@yahoo.fr</w:t>
        </w:r>
      </w:hyperlink>
    </w:p>
    <w:p w:rsidR="001F630B" w:rsidRDefault="001F630B" w:rsidP="001F630B">
      <w:pPr>
        <w:pBdr>
          <w:top w:val="single" w:sz="4" w:space="1" w:color="auto" w:shadow="1"/>
          <w:left w:val="single" w:sz="4" w:space="4" w:color="auto" w:shadow="1"/>
          <w:bottom w:val="single" w:sz="4" w:space="1" w:color="auto" w:shadow="1"/>
          <w:right w:val="single" w:sz="4" w:space="4" w:color="auto" w:shadow="1"/>
        </w:pBdr>
        <w:jc w:val="right"/>
      </w:pPr>
    </w:p>
    <w:p w:rsidR="001F630B" w:rsidRDefault="001F630B" w:rsidP="001F630B">
      <w:pPr>
        <w:ind w:firstLine="708"/>
      </w:pPr>
    </w:p>
    <w:p w:rsidR="001F630B" w:rsidRDefault="001F630B" w:rsidP="001F630B">
      <w:pPr>
        <w:ind w:firstLine="708"/>
      </w:pPr>
    </w:p>
    <w:p w:rsidR="00297071" w:rsidRPr="00297071" w:rsidRDefault="00297071" w:rsidP="00297071">
      <w:pPr>
        <w:pStyle w:val="NormalWeb"/>
        <w:spacing w:before="0" w:beforeAutospacing="0" w:after="0" w:afterAutospacing="0"/>
        <w:jc w:val="both"/>
        <w:rPr>
          <w:rFonts w:ascii="Arial" w:hAnsi="Arial" w:cs="Arial"/>
          <w:sz w:val="22"/>
          <w:szCs w:val="22"/>
        </w:rPr>
      </w:pPr>
      <w:r w:rsidRPr="00297071">
        <w:rPr>
          <w:rStyle w:val="lev"/>
          <w:rFonts w:ascii="Arial" w:hAnsi="Arial" w:cs="Arial"/>
          <w:sz w:val="22"/>
          <w:szCs w:val="22"/>
        </w:rPr>
        <w:lastRenderedPageBreak/>
        <w:t>1. CADRE DE L’APPEL :</w:t>
      </w:r>
    </w:p>
    <w:p w:rsidR="00EC77D7" w:rsidRPr="00E17277" w:rsidRDefault="00EC77D7" w:rsidP="00EC77D7">
      <w:pPr>
        <w:pStyle w:val="NormalWeb"/>
        <w:spacing w:before="75" w:after="75"/>
        <w:jc w:val="both"/>
        <w:rPr>
          <w:rFonts w:ascii="Arial" w:hAnsi="Arial" w:cs="Arial"/>
          <w:sz w:val="22"/>
          <w:szCs w:val="22"/>
        </w:rPr>
      </w:pPr>
      <w:r w:rsidRPr="00E17277">
        <w:rPr>
          <w:rFonts w:ascii="Arial" w:hAnsi="Arial" w:cs="Arial"/>
          <w:sz w:val="22"/>
          <w:szCs w:val="22"/>
        </w:rPr>
        <w:t xml:space="preserve">Le PPAAO/Niger financé par le Gouvernement du Niger, la Banque Mondiale et les populations bénéficiaires est un projet structuré en quatre principales composantes. La Composante III est destinée au financement à la demande de la génération, la diffusion et l’adoption des technologies à partir des Fonds Compétitifs (FC). </w:t>
      </w:r>
    </w:p>
    <w:p w:rsidR="00EC77D7" w:rsidRPr="00E17277" w:rsidRDefault="00EC77D7" w:rsidP="00EC77D7">
      <w:pPr>
        <w:pStyle w:val="NormalWeb"/>
        <w:spacing w:before="75" w:after="75"/>
        <w:jc w:val="both"/>
        <w:rPr>
          <w:rFonts w:ascii="Arial" w:hAnsi="Arial" w:cs="Arial"/>
          <w:sz w:val="22"/>
          <w:szCs w:val="22"/>
        </w:rPr>
      </w:pPr>
      <w:r w:rsidRPr="00E17277">
        <w:rPr>
          <w:rFonts w:ascii="Arial" w:hAnsi="Arial" w:cs="Arial"/>
          <w:sz w:val="22"/>
          <w:szCs w:val="22"/>
        </w:rPr>
        <w:t>C’est dans ce cadre que le Secrétariat Permanent  du Conseil National de la Recherche Agronomique  SP</w:t>
      </w:r>
      <w:r w:rsidR="006C2A7D">
        <w:rPr>
          <w:rFonts w:ascii="Arial" w:hAnsi="Arial" w:cs="Arial"/>
          <w:sz w:val="22"/>
          <w:szCs w:val="22"/>
        </w:rPr>
        <w:t>-</w:t>
      </w:r>
      <w:r w:rsidRPr="00E17277">
        <w:rPr>
          <w:rFonts w:ascii="Arial" w:hAnsi="Arial" w:cs="Arial"/>
          <w:sz w:val="22"/>
          <w:szCs w:val="22"/>
        </w:rPr>
        <w:t xml:space="preserve"> CNRA a été désigné comme agence d’exécution pour assurer la gestion des Fonds Compétitifs du Programme de Productivité Agricole en Afrique de l’Ouest (PPAAO-Niger). </w:t>
      </w:r>
    </w:p>
    <w:p w:rsidR="00297071" w:rsidRDefault="00EC77D7" w:rsidP="00EC77D7">
      <w:pPr>
        <w:pStyle w:val="NormalWeb"/>
        <w:spacing w:before="75" w:beforeAutospacing="0" w:after="75" w:afterAutospacing="0"/>
        <w:jc w:val="both"/>
        <w:rPr>
          <w:rFonts w:ascii="Arial" w:hAnsi="Arial" w:cs="Arial"/>
          <w:sz w:val="22"/>
          <w:szCs w:val="22"/>
        </w:rPr>
      </w:pPr>
      <w:r w:rsidRPr="00EC77D7">
        <w:rPr>
          <w:rFonts w:ascii="Arial" w:hAnsi="Arial" w:cs="Arial"/>
          <w:sz w:val="22"/>
          <w:szCs w:val="22"/>
        </w:rPr>
        <w:t>La diffusion large et l’adoption des technologies permettront de répondre à la demande d’un grand public et d’avoir une meilleure visibilité et impact des résultats du projet.</w:t>
      </w:r>
    </w:p>
    <w:p w:rsidR="00EC77D7" w:rsidRPr="00297071" w:rsidRDefault="00EC77D7" w:rsidP="00EC77D7">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b/>
          <w:sz w:val="22"/>
          <w:szCs w:val="22"/>
        </w:rPr>
      </w:pPr>
      <w:r w:rsidRPr="00297071">
        <w:rPr>
          <w:rFonts w:ascii="Arial" w:hAnsi="Arial" w:cs="Arial"/>
          <w:b/>
          <w:sz w:val="22"/>
          <w:szCs w:val="22"/>
        </w:rPr>
        <w:t>2. CONDITIONS D’ELIGIBILITE</w:t>
      </w:r>
    </w:p>
    <w:p w:rsidR="00E17277" w:rsidRDefault="00E17277" w:rsidP="00297071">
      <w:pPr>
        <w:pStyle w:val="NormalWeb"/>
        <w:spacing w:before="75" w:beforeAutospacing="0" w:after="75" w:afterAutospacing="0"/>
        <w:jc w:val="both"/>
        <w:rPr>
          <w:rFonts w:ascii="Arial" w:hAnsi="Arial" w:cs="Arial"/>
          <w:sz w:val="22"/>
          <w:szCs w:val="22"/>
        </w:rPr>
      </w:pPr>
    </w:p>
    <w:p w:rsidR="00DE63DD"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Pour le</w:t>
      </w:r>
      <w:r w:rsidR="006C2A7D">
        <w:rPr>
          <w:rFonts w:ascii="Arial" w:hAnsi="Arial" w:cs="Arial"/>
          <w:sz w:val="22"/>
          <w:szCs w:val="22"/>
        </w:rPr>
        <w:t xml:space="preserve"> présent appel à proposition de </w:t>
      </w:r>
      <w:r w:rsidRPr="00297071">
        <w:rPr>
          <w:rFonts w:ascii="Arial" w:hAnsi="Arial" w:cs="Arial"/>
          <w:sz w:val="22"/>
          <w:szCs w:val="22"/>
        </w:rPr>
        <w:t>projets de recherche compétitive</w:t>
      </w:r>
      <w:r w:rsidR="006C2A7D">
        <w:rPr>
          <w:rFonts w:ascii="Arial" w:hAnsi="Arial" w:cs="Arial"/>
          <w:sz w:val="22"/>
          <w:szCs w:val="22"/>
        </w:rPr>
        <w:t>,</w:t>
      </w:r>
      <w:r w:rsidRPr="00297071">
        <w:rPr>
          <w:rFonts w:ascii="Arial" w:hAnsi="Arial" w:cs="Arial"/>
          <w:sz w:val="22"/>
          <w:szCs w:val="22"/>
        </w:rPr>
        <w:t xml:space="preserve"> les filières prioritairement ciblées sont : (i)</w:t>
      </w:r>
      <w:r w:rsidR="006C2A7D">
        <w:rPr>
          <w:rFonts w:ascii="Arial" w:hAnsi="Arial" w:cs="Arial"/>
          <w:sz w:val="22"/>
          <w:szCs w:val="22"/>
        </w:rPr>
        <w:t xml:space="preserve"> Le </w:t>
      </w:r>
      <w:proofErr w:type="spellStart"/>
      <w:r w:rsidR="006C2A7D">
        <w:rPr>
          <w:rFonts w:ascii="Arial" w:hAnsi="Arial" w:cs="Arial"/>
          <w:sz w:val="22"/>
          <w:szCs w:val="22"/>
        </w:rPr>
        <w:t>moringa</w:t>
      </w:r>
      <w:proofErr w:type="spellEnd"/>
      <w:r w:rsidRPr="00297071">
        <w:rPr>
          <w:rFonts w:ascii="Arial" w:hAnsi="Arial" w:cs="Arial"/>
          <w:sz w:val="22"/>
          <w:szCs w:val="22"/>
        </w:rPr>
        <w:t xml:space="preserve"> (ii)</w:t>
      </w:r>
      <w:r w:rsidR="006C2A7D">
        <w:rPr>
          <w:rFonts w:ascii="Arial" w:hAnsi="Arial" w:cs="Arial"/>
          <w:sz w:val="22"/>
          <w:szCs w:val="22"/>
        </w:rPr>
        <w:t xml:space="preserve"> la pomme de terre</w:t>
      </w:r>
      <w:r w:rsidRPr="00297071">
        <w:rPr>
          <w:rFonts w:ascii="Arial" w:hAnsi="Arial" w:cs="Arial"/>
          <w:sz w:val="22"/>
          <w:szCs w:val="22"/>
        </w:rPr>
        <w:t xml:space="preserve"> (iii) </w:t>
      </w:r>
      <w:r w:rsidR="006C2A7D">
        <w:rPr>
          <w:rFonts w:ascii="Arial" w:hAnsi="Arial" w:cs="Arial"/>
          <w:sz w:val="22"/>
          <w:szCs w:val="22"/>
        </w:rPr>
        <w:t>l’oignon (iv) le sésame et  (v) le niébé.</w:t>
      </w:r>
      <w:r w:rsidRPr="00297071">
        <w:rPr>
          <w:rFonts w:ascii="Arial" w:hAnsi="Arial" w:cs="Arial"/>
          <w:sz w:val="22"/>
          <w:szCs w:val="22"/>
        </w:rPr>
        <w:t xml:space="preserve"> Pour les projets de recherche adaptative l’accent est mis sur</w:t>
      </w:r>
      <w:r w:rsidR="003004DC">
        <w:rPr>
          <w:rFonts w:ascii="Arial" w:hAnsi="Arial" w:cs="Arial"/>
          <w:sz w:val="22"/>
          <w:szCs w:val="22"/>
        </w:rPr>
        <w:t xml:space="preserve"> le travail des équipe</w:t>
      </w:r>
      <w:r w:rsidR="002471DA">
        <w:rPr>
          <w:rFonts w:ascii="Arial" w:hAnsi="Arial" w:cs="Arial"/>
          <w:sz w:val="22"/>
          <w:szCs w:val="22"/>
        </w:rPr>
        <w:t>s</w:t>
      </w:r>
      <w:r w:rsidR="003004DC">
        <w:rPr>
          <w:rFonts w:ascii="Arial" w:hAnsi="Arial" w:cs="Arial"/>
          <w:sz w:val="22"/>
          <w:szCs w:val="22"/>
        </w:rPr>
        <w:t xml:space="preserve"> de </w:t>
      </w:r>
      <w:r w:rsidR="002471DA">
        <w:rPr>
          <w:rFonts w:ascii="Arial" w:hAnsi="Arial" w:cs="Arial"/>
          <w:sz w:val="22"/>
          <w:szCs w:val="22"/>
        </w:rPr>
        <w:t>recherche</w:t>
      </w:r>
      <w:r w:rsidR="00DE63DD" w:rsidRPr="00DE63DD">
        <w:rPr>
          <w:rFonts w:asciiTheme="minorHAnsi" w:eastAsiaTheme="minorHAnsi" w:hAnsiTheme="minorHAnsi" w:cstheme="minorBidi"/>
          <w:sz w:val="22"/>
          <w:szCs w:val="22"/>
          <w:lang w:eastAsia="en-US"/>
        </w:rPr>
        <w:t xml:space="preserve"> </w:t>
      </w:r>
      <w:r w:rsidR="00DE63DD" w:rsidRPr="00DE63DD">
        <w:rPr>
          <w:rFonts w:ascii="Arial" w:hAnsi="Arial" w:cs="Arial"/>
          <w:sz w:val="22"/>
          <w:szCs w:val="22"/>
        </w:rPr>
        <w:t>qui présentent  un avantage comparatif  pour y conduire des recherches</w:t>
      </w:r>
      <w:r w:rsidR="002471DA">
        <w:rPr>
          <w:rFonts w:ascii="Arial" w:hAnsi="Arial" w:cs="Arial"/>
          <w:sz w:val="22"/>
          <w:szCs w:val="22"/>
        </w:rPr>
        <w:t xml:space="preserve">. </w:t>
      </w:r>
      <w:r w:rsidRPr="00297071">
        <w:rPr>
          <w:rFonts w:ascii="Arial" w:hAnsi="Arial" w:cs="Arial"/>
          <w:sz w:val="22"/>
          <w:szCs w:val="22"/>
        </w:rPr>
        <w:t>Cet appel à propositions est ouvert aux équipes ayant des compétences dans les domaines</w:t>
      </w:r>
      <w:r w:rsidR="00DE63DD">
        <w:rPr>
          <w:rFonts w:ascii="Arial" w:hAnsi="Arial" w:cs="Arial"/>
          <w:sz w:val="22"/>
          <w:szCs w:val="22"/>
        </w:rPr>
        <w:t xml:space="preserve"> des spéculations susmentionnées</w:t>
      </w:r>
      <w:r w:rsidRPr="00297071">
        <w:rPr>
          <w:rFonts w:ascii="Arial" w:hAnsi="Arial" w:cs="Arial"/>
          <w:sz w:val="22"/>
          <w:szCs w:val="22"/>
        </w:rPr>
        <w:t xml:space="preserve">, pour la soumission spontanée de projets de Recherche </w:t>
      </w:r>
      <w:r w:rsidR="00DE63DD">
        <w:rPr>
          <w:rFonts w:ascii="Arial" w:hAnsi="Arial" w:cs="Arial"/>
          <w:sz w:val="22"/>
          <w:szCs w:val="22"/>
        </w:rPr>
        <w:t>a</w:t>
      </w:r>
      <w:r w:rsidR="00DE63DD" w:rsidRPr="00297071">
        <w:rPr>
          <w:rFonts w:ascii="Arial" w:hAnsi="Arial" w:cs="Arial"/>
          <w:sz w:val="22"/>
          <w:szCs w:val="22"/>
        </w:rPr>
        <w:t xml:space="preserve">daptative et </w:t>
      </w:r>
      <w:r w:rsidR="00DE63DD">
        <w:rPr>
          <w:rFonts w:ascii="Arial" w:hAnsi="Arial" w:cs="Arial"/>
          <w:sz w:val="22"/>
          <w:szCs w:val="22"/>
        </w:rPr>
        <w:t>c</w:t>
      </w:r>
      <w:r w:rsidRPr="00297071">
        <w:rPr>
          <w:rFonts w:ascii="Arial" w:hAnsi="Arial" w:cs="Arial"/>
          <w:sz w:val="22"/>
          <w:szCs w:val="22"/>
        </w:rPr>
        <w:t xml:space="preserve">ompétitive, telle que définie dans le manuel de Gestion des </w:t>
      </w:r>
      <w:r w:rsidR="00597ABC">
        <w:rPr>
          <w:rFonts w:ascii="Arial" w:hAnsi="Arial" w:cs="Arial"/>
          <w:sz w:val="22"/>
          <w:szCs w:val="22"/>
        </w:rPr>
        <w:t>Fonds compétitif</w:t>
      </w:r>
      <w:r w:rsidRPr="00297071">
        <w:rPr>
          <w:rFonts w:ascii="Arial" w:hAnsi="Arial" w:cs="Arial"/>
          <w:sz w:val="22"/>
          <w:szCs w:val="22"/>
        </w:rPr>
        <w:t>s</w:t>
      </w:r>
      <w:r w:rsidR="00597ABC">
        <w:rPr>
          <w:rFonts w:ascii="Arial" w:hAnsi="Arial" w:cs="Arial"/>
          <w:sz w:val="22"/>
          <w:szCs w:val="22"/>
        </w:rPr>
        <w:t xml:space="preserve"> pour la recherche agricole au Niger</w:t>
      </w:r>
      <w:r w:rsidR="00DE63DD">
        <w:rPr>
          <w:rFonts w:ascii="Arial" w:hAnsi="Arial" w:cs="Arial"/>
          <w:sz w:val="22"/>
          <w:szCs w:val="22"/>
        </w:rPr>
        <w:t>.</w:t>
      </w:r>
    </w:p>
    <w:p w:rsidR="00297071" w:rsidRPr="00297071" w:rsidRDefault="00297071" w:rsidP="00297071">
      <w:pPr>
        <w:pStyle w:val="NormalWeb"/>
        <w:spacing w:before="75" w:after="75"/>
        <w:jc w:val="both"/>
        <w:rPr>
          <w:rFonts w:ascii="Arial" w:hAnsi="Arial" w:cs="Arial"/>
          <w:sz w:val="22"/>
          <w:szCs w:val="22"/>
        </w:rPr>
      </w:pPr>
      <w:r w:rsidRPr="00297071">
        <w:rPr>
          <w:rFonts w:ascii="Arial" w:hAnsi="Arial" w:cs="Arial"/>
          <w:sz w:val="22"/>
          <w:szCs w:val="22"/>
        </w:rPr>
        <w:t>Seules les institutions nigériennes sont éligibles à cet appel. Elles peuvent cependant s’associer à des institutions étrangères pour la réalisation des projets. Le plan de rédaction des</w:t>
      </w:r>
      <w:r w:rsidR="00DE63DD">
        <w:rPr>
          <w:rFonts w:ascii="Arial" w:hAnsi="Arial" w:cs="Arial"/>
          <w:sz w:val="22"/>
          <w:szCs w:val="22"/>
        </w:rPr>
        <w:t xml:space="preserve"> projets devra être conforme au</w:t>
      </w:r>
      <w:r w:rsidRPr="00297071">
        <w:rPr>
          <w:rFonts w:ascii="Arial" w:hAnsi="Arial" w:cs="Arial"/>
          <w:sz w:val="22"/>
          <w:szCs w:val="22"/>
        </w:rPr>
        <w:t xml:space="preserve"> </w:t>
      </w:r>
      <w:r w:rsidR="00DE63DD">
        <w:rPr>
          <w:rFonts w:ascii="Arial" w:hAnsi="Arial" w:cs="Arial"/>
          <w:sz w:val="22"/>
          <w:szCs w:val="22"/>
        </w:rPr>
        <w:t>canevas annexé aux appels</w:t>
      </w:r>
      <w:r w:rsidRPr="00297071">
        <w:rPr>
          <w:rFonts w:ascii="Arial" w:hAnsi="Arial" w:cs="Arial"/>
          <w:sz w:val="22"/>
          <w:szCs w:val="22"/>
        </w:rPr>
        <w:t xml:space="preserve">. Le dossier complet de soumission, sur papier et sur CD en format Word, devra parvenir au Secrétariat Permanent Conseil National de la Recherche Agronomique du Niger, le </w:t>
      </w:r>
      <w:r w:rsidR="00DE63DD" w:rsidRPr="00DE63DD">
        <w:rPr>
          <w:rFonts w:ascii="Arial" w:hAnsi="Arial" w:cs="Arial"/>
          <w:b/>
          <w:sz w:val="22"/>
          <w:szCs w:val="22"/>
        </w:rPr>
        <w:t xml:space="preserve">20 décembre  2017 à 16 heures </w:t>
      </w:r>
      <w:r w:rsidRPr="00DE63DD">
        <w:rPr>
          <w:rFonts w:ascii="Arial" w:hAnsi="Arial" w:cs="Arial"/>
          <w:b/>
          <w:sz w:val="22"/>
          <w:szCs w:val="22"/>
        </w:rPr>
        <w:t>au plus tard</w:t>
      </w:r>
      <w:r w:rsidRPr="00297071">
        <w:rPr>
          <w:rFonts w:ascii="Arial" w:hAnsi="Arial" w:cs="Arial"/>
          <w:sz w:val="22"/>
          <w:szCs w:val="22"/>
        </w:rPr>
        <w:t>, la date d’enregistrement du secrétariat faisant foi.</w:t>
      </w:r>
    </w:p>
    <w:p w:rsidR="00297071" w:rsidRPr="00297071" w:rsidRDefault="00297071"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b/>
          <w:sz w:val="22"/>
          <w:szCs w:val="22"/>
        </w:rPr>
      </w:pPr>
      <w:r w:rsidRPr="00297071">
        <w:rPr>
          <w:rFonts w:ascii="Arial" w:hAnsi="Arial" w:cs="Arial"/>
          <w:b/>
          <w:sz w:val="22"/>
          <w:szCs w:val="22"/>
        </w:rPr>
        <w:t>3. PROCEDURES DE SOUMISSION</w:t>
      </w:r>
    </w:p>
    <w:p w:rsidR="009554F8" w:rsidRDefault="009554F8"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Le dossier complet de soumission devra être transmis au Secrétariat Permanent du Conseil National de la recherche Agronomique SP/CNRA (Sis à INRAN DECOR Château 1) par le responsable de la structure de tutelle du promoteur et coordonnateur de l’équipe du projet. Le SP/CNRA, chargé de la réception, de la vérification de la conformité et du traitement préliminaire des prés requis d’éligibilité, apportera aux promoteurs toute l’assistance requise pour la compréhension des procédures, la préparation des dossiers de soumission.</w:t>
      </w:r>
    </w:p>
    <w:p w:rsidR="00297071" w:rsidRPr="00297071" w:rsidRDefault="00297071"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b/>
          <w:sz w:val="22"/>
          <w:szCs w:val="22"/>
        </w:rPr>
      </w:pPr>
      <w:r w:rsidRPr="00297071">
        <w:rPr>
          <w:rFonts w:ascii="Arial" w:hAnsi="Arial" w:cs="Arial"/>
          <w:b/>
          <w:sz w:val="22"/>
          <w:szCs w:val="22"/>
        </w:rPr>
        <w:t>4. CRITERES DE SELECTION DES PROPOSITIONS</w:t>
      </w:r>
    </w:p>
    <w:p w:rsidR="009D16E7"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 xml:space="preserve">Les critères de sélection des projets sont entre autres : </w:t>
      </w:r>
    </w:p>
    <w:p w:rsid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297071">
        <w:rPr>
          <w:rFonts w:ascii="Arial" w:hAnsi="Arial" w:cs="Arial"/>
          <w:sz w:val="22"/>
          <w:szCs w:val="22"/>
        </w:rPr>
        <w:t>la qualité technique de la proposition,</w:t>
      </w:r>
    </w:p>
    <w:p w:rsid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297071">
        <w:rPr>
          <w:rFonts w:ascii="Arial" w:hAnsi="Arial" w:cs="Arial"/>
          <w:sz w:val="22"/>
          <w:szCs w:val="22"/>
        </w:rPr>
        <w:t xml:space="preserve">la pertinence par rapport à la demande des utilisateurs, </w:t>
      </w:r>
    </w:p>
    <w:p w:rsid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9D16E7">
        <w:rPr>
          <w:rFonts w:ascii="Arial" w:hAnsi="Arial" w:cs="Arial"/>
          <w:sz w:val="22"/>
          <w:szCs w:val="22"/>
        </w:rPr>
        <w:t xml:space="preserve">la qualité du dispositif de mise en œuvre  du projet, </w:t>
      </w:r>
    </w:p>
    <w:p w:rsid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9D16E7">
        <w:rPr>
          <w:rFonts w:ascii="Arial" w:hAnsi="Arial" w:cs="Arial"/>
          <w:sz w:val="22"/>
          <w:szCs w:val="22"/>
        </w:rPr>
        <w:t xml:space="preserve">l’implication des utilisateurs, l’applicabilité et le taux d’adoption potentiel des résultats, </w:t>
      </w:r>
    </w:p>
    <w:p w:rsid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9D16E7">
        <w:rPr>
          <w:rFonts w:ascii="Arial" w:hAnsi="Arial" w:cs="Arial"/>
          <w:sz w:val="22"/>
          <w:szCs w:val="22"/>
        </w:rPr>
        <w:lastRenderedPageBreak/>
        <w:t xml:space="preserve">la qualité de l’équipe de recherche et des partenaires impliqués et </w:t>
      </w:r>
    </w:p>
    <w:p w:rsidR="00297071" w:rsidRPr="009D16E7" w:rsidRDefault="00297071" w:rsidP="009D16E7">
      <w:pPr>
        <w:pStyle w:val="NormalWeb"/>
        <w:numPr>
          <w:ilvl w:val="0"/>
          <w:numId w:val="1"/>
        </w:numPr>
        <w:spacing w:before="75" w:beforeAutospacing="0" w:after="75" w:afterAutospacing="0"/>
        <w:jc w:val="both"/>
        <w:rPr>
          <w:rFonts w:ascii="Arial" w:hAnsi="Arial" w:cs="Arial"/>
          <w:sz w:val="22"/>
          <w:szCs w:val="22"/>
        </w:rPr>
      </w:pPr>
      <w:r w:rsidRPr="009D16E7">
        <w:rPr>
          <w:rFonts w:ascii="Arial" w:hAnsi="Arial" w:cs="Arial"/>
          <w:sz w:val="22"/>
          <w:szCs w:val="22"/>
        </w:rPr>
        <w:t>les capacités à prendre en compte la dimension environnementale, sociale et le genre dans l’élaboration, la mise en œuvre et l’appropriation des résultats de la proposition.</w:t>
      </w:r>
    </w:p>
    <w:p w:rsidR="00297071" w:rsidRPr="00297071" w:rsidRDefault="00297071"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b/>
          <w:sz w:val="22"/>
          <w:szCs w:val="22"/>
        </w:rPr>
      </w:pPr>
      <w:r w:rsidRPr="00297071">
        <w:rPr>
          <w:rFonts w:ascii="Arial" w:hAnsi="Arial" w:cs="Arial"/>
          <w:b/>
          <w:sz w:val="22"/>
          <w:szCs w:val="22"/>
        </w:rPr>
        <w:t xml:space="preserve">5. FINANCEMENT </w:t>
      </w:r>
    </w:p>
    <w:p w:rsidR="009554F8" w:rsidRDefault="009554F8"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Le budget pouvant être pris en charge par le PPAAO est plafonné à hauteur de : 30 Millions de FCFA.</w:t>
      </w:r>
    </w:p>
    <w:p w:rsidR="00297071" w:rsidRPr="00297071"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Lorsque le montant requis dépasse ce plafond, les porteurs du projet doivent indiquer les autres sources de financement en précisant les montants pris en charge par chacune.</w:t>
      </w:r>
    </w:p>
    <w:p w:rsidR="00297071" w:rsidRPr="00297071" w:rsidRDefault="00297071"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0" w:beforeAutospacing="0" w:after="0" w:afterAutospacing="0"/>
        <w:jc w:val="both"/>
        <w:rPr>
          <w:rFonts w:ascii="Arial" w:hAnsi="Arial" w:cs="Arial"/>
          <w:sz w:val="22"/>
          <w:szCs w:val="22"/>
        </w:rPr>
      </w:pPr>
      <w:r w:rsidRPr="00297071">
        <w:rPr>
          <w:rStyle w:val="lev"/>
          <w:rFonts w:ascii="Arial" w:hAnsi="Arial" w:cs="Arial"/>
          <w:sz w:val="22"/>
          <w:szCs w:val="22"/>
        </w:rPr>
        <w:t>PUBLICATION DES RESULTATS</w:t>
      </w:r>
    </w:p>
    <w:p w:rsidR="009554F8" w:rsidRDefault="009554F8" w:rsidP="00297071">
      <w:pPr>
        <w:pStyle w:val="NormalWeb"/>
        <w:spacing w:before="75" w:beforeAutospacing="0" w:after="75" w:afterAutospacing="0"/>
        <w:jc w:val="both"/>
        <w:rPr>
          <w:rFonts w:ascii="Arial" w:hAnsi="Arial" w:cs="Arial"/>
          <w:sz w:val="22"/>
          <w:szCs w:val="22"/>
        </w:rPr>
      </w:pPr>
    </w:p>
    <w:p w:rsidR="00297071" w:rsidRPr="00297071" w:rsidRDefault="00297071" w:rsidP="00297071">
      <w:pPr>
        <w:pStyle w:val="NormalWeb"/>
        <w:spacing w:before="75" w:beforeAutospacing="0" w:after="75" w:afterAutospacing="0"/>
        <w:jc w:val="both"/>
        <w:rPr>
          <w:rFonts w:ascii="Arial" w:hAnsi="Arial" w:cs="Arial"/>
          <w:sz w:val="22"/>
          <w:szCs w:val="22"/>
        </w:rPr>
      </w:pPr>
      <w:r w:rsidRPr="00297071">
        <w:rPr>
          <w:rFonts w:ascii="Arial" w:hAnsi="Arial" w:cs="Arial"/>
          <w:sz w:val="22"/>
          <w:szCs w:val="22"/>
        </w:rPr>
        <w:t>La liste des projets sélectionnés par le Comité de sélection du SP/CNRA sera publiée dans les mêmes supports que le présent appel à propositions. Les équipes primées seront invitées à une négociation avec le SP/CNRA. Chaque soumissionnaire de l’appel à propositions recevra sous pli confidentiel le rapport d’évaluation de son projet.</w:t>
      </w:r>
    </w:p>
    <w:p w:rsidR="00297071" w:rsidRPr="00297071" w:rsidRDefault="00297071" w:rsidP="00297071"/>
    <w:p w:rsidR="001F630B" w:rsidRPr="00297071" w:rsidRDefault="001F630B" w:rsidP="001F630B">
      <w:pPr>
        <w:ind w:firstLine="708"/>
      </w:pPr>
    </w:p>
    <w:p w:rsidR="001F630B" w:rsidRPr="00297071" w:rsidRDefault="001F630B" w:rsidP="001F630B">
      <w:pPr>
        <w:ind w:firstLine="708"/>
      </w:pPr>
    </w:p>
    <w:p w:rsidR="001F630B" w:rsidRDefault="001F630B" w:rsidP="001F630B">
      <w:pPr>
        <w:ind w:firstLine="708"/>
      </w:pPr>
    </w:p>
    <w:p w:rsidR="001F630B" w:rsidRDefault="001F630B" w:rsidP="001F630B">
      <w:pPr>
        <w:ind w:firstLine="708"/>
      </w:pPr>
    </w:p>
    <w:p w:rsidR="001F630B" w:rsidRDefault="001F630B" w:rsidP="001F630B">
      <w:pPr>
        <w:ind w:firstLine="708"/>
      </w:pPr>
    </w:p>
    <w:p w:rsidR="001F630B" w:rsidRDefault="001F630B" w:rsidP="001F630B">
      <w:pPr>
        <w:ind w:firstLine="708"/>
      </w:pPr>
    </w:p>
    <w:p w:rsidR="001F630B" w:rsidRPr="001F630B" w:rsidRDefault="001F630B" w:rsidP="001F630B">
      <w:pPr>
        <w:ind w:firstLine="708"/>
      </w:pPr>
    </w:p>
    <w:sectPr w:rsidR="001F630B" w:rsidRPr="001F63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7BB"/>
    <w:multiLevelType w:val="hybridMultilevel"/>
    <w:tmpl w:val="AA865A56"/>
    <w:lvl w:ilvl="0" w:tplc="FEF6B93C">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779"/>
    <w:rsid w:val="000209EC"/>
    <w:rsid w:val="00054576"/>
    <w:rsid w:val="000556C2"/>
    <w:rsid w:val="00063567"/>
    <w:rsid w:val="00063BA3"/>
    <w:rsid w:val="0006729B"/>
    <w:rsid w:val="000839FD"/>
    <w:rsid w:val="00083D5A"/>
    <w:rsid w:val="000A1FA8"/>
    <w:rsid w:val="000A4EEA"/>
    <w:rsid w:val="000C13A4"/>
    <w:rsid w:val="000E48D0"/>
    <w:rsid w:val="000F03C9"/>
    <w:rsid w:val="001212A0"/>
    <w:rsid w:val="00146FA1"/>
    <w:rsid w:val="00151E8E"/>
    <w:rsid w:val="0015335E"/>
    <w:rsid w:val="00167A4D"/>
    <w:rsid w:val="001A3757"/>
    <w:rsid w:val="001D0CC0"/>
    <w:rsid w:val="001F03F8"/>
    <w:rsid w:val="001F4977"/>
    <w:rsid w:val="001F630B"/>
    <w:rsid w:val="0020333E"/>
    <w:rsid w:val="00207661"/>
    <w:rsid w:val="00207987"/>
    <w:rsid w:val="002108A1"/>
    <w:rsid w:val="00220F10"/>
    <w:rsid w:val="00234645"/>
    <w:rsid w:val="00234B18"/>
    <w:rsid w:val="002471DA"/>
    <w:rsid w:val="00283D5A"/>
    <w:rsid w:val="00297071"/>
    <w:rsid w:val="002C47A9"/>
    <w:rsid w:val="002D2681"/>
    <w:rsid w:val="002E0B65"/>
    <w:rsid w:val="002F48B1"/>
    <w:rsid w:val="003004DC"/>
    <w:rsid w:val="00301EF2"/>
    <w:rsid w:val="003024F0"/>
    <w:rsid w:val="00307DCF"/>
    <w:rsid w:val="00312448"/>
    <w:rsid w:val="0034534E"/>
    <w:rsid w:val="003462FE"/>
    <w:rsid w:val="003705FB"/>
    <w:rsid w:val="00370AEF"/>
    <w:rsid w:val="003748BA"/>
    <w:rsid w:val="0037537C"/>
    <w:rsid w:val="0038428D"/>
    <w:rsid w:val="003D2099"/>
    <w:rsid w:val="003D3DCF"/>
    <w:rsid w:val="003D5154"/>
    <w:rsid w:val="003F0C31"/>
    <w:rsid w:val="003F6DBE"/>
    <w:rsid w:val="00411B56"/>
    <w:rsid w:val="004A1CEF"/>
    <w:rsid w:val="004B6A35"/>
    <w:rsid w:val="004C69AB"/>
    <w:rsid w:val="004D6711"/>
    <w:rsid w:val="004F27C5"/>
    <w:rsid w:val="00526C53"/>
    <w:rsid w:val="00541778"/>
    <w:rsid w:val="005422DE"/>
    <w:rsid w:val="00555E5F"/>
    <w:rsid w:val="00566AD7"/>
    <w:rsid w:val="005765B6"/>
    <w:rsid w:val="005955DD"/>
    <w:rsid w:val="00597ABC"/>
    <w:rsid w:val="00603A6A"/>
    <w:rsid w:val="00604BFF"/>
    <w:rsid w:val="006306DE"/>
    <w:rsid w:val="00662962"/>
    <w:rsid w:val="00663D79"/>
    <w:rsid w:val="006B5596"/>
    <w:rsid w:val="006C2A7D"/>
    <w:rsid w:val="006C72CD"/>
    <w:rsid w:val="006C7E73"/>
    <w:rsid w:val="006D3496"/>
    <w:rsid w:val="0070278D"/>
    <w:rsid w:val="00705C05"/>
    <w:rsid w:val="00716021"/>
    <w:rsid w:val="00723E22"/>
    <w:rsid w:val="00725E2B"/>
    <w:rsid w:val="00733E68"/>
    <w:rsid w:val="007503C2"/>
    <w:rsid w:val="007874A0"/>
    <w:rsid w:val="007A27AD"/>
    <w:rsid w:val="007F38E9"/>
    <w:rsid w:val="00816328"/>
    <w:rsid w:val="0082397A"/>
    <w:rsid w:val="00856AAA"/>
    <w:rsid w:val="008606EF"/>
    <w:rsid w:val="00880E20"/>
    <w:rsid w:val="00896A7B"/>
    <w:rsid w:val="008B1659"/>
    <w:rsid w:val="008B3E0A"/>
    <w:rsid w:val="008C7E35"/>
    <w:rsid w:val="008E3779"/>
    <w:rsid w:val="009478D9"/>
    <w:rsid w:val="00951C76"/>
    <w:rsid w:val="009521C8"/>
    <w:rsid w:val="009554F8"/>
    <w:rsid w:val="0099112C"/>
    <w:rsid w:val="00992B45"/>
    <w:rsid w:val="009A198A"/>
    <w:rsid w:val="009B7DCF"/>
    <w:rsid w:val="009D101F"/>
    <w:rsid w:val="009D16E7"/>
    <w:rsid w:val="009E118F"/>
    <w:rsid w:val="009E7DB1"/>
    <w:rsid w:val="00A161EF"/>
    <w:rsid w:val="00A33060"/>
    <w:rsid w:val="00A51FE1"/>
    <w:rsid w:val="00A71921"/>
    <w:rsid w:val="00A97F81"/>
    <w:rsid w:val="00AB3596"/>
    <w:rsid w:val="00AB48A7"/>
    <w:rsid w:val="00AD5BB7"/>
    <w:rsid w:val="00AE0206"/>
    <w:rsid w:val="00B04560"/>
    <w:rsid w:val="00B1079D"/>
    <w:rsid w:val="00B126DE"/>
    <w:rsid w:val="00B35C3E"/>
    <w:rsid w:val="00B739DB"/>
    <w:rsid w:val="00BA1410"/>
    <w:rsid w:val="00BA6387"/>
    <w:rsid w:val="00BC381E"/>
    <w:rsid w:val="00BE1BD5"/>
    <w:rsid w:val="00BF748B"/>
    <w:rsid w:val="00C024B4"/>
    <w:rsid w:val="00C12880"/>
    <w:rsid w:val="00C27066"/>
    <w:rsid w:val="00C40DA4"/>
    <w:rsid w:val="00C450A4"/>
    <w:rsid w:val="00C721FB"/>
    <w:rsid w:val="00CE1E6F"/>
    <w:rsid w:val="00CF4FD5"/>
    <w:rsid w:val="00D20326"/>
    <w:rsid w:val="00D456DA"/>
    <w:rsid w:val="00D57033"/>
    <w:rsid w:val="00D5748D"/>
    <w:rsid w:val="00D90076"/>
    <w:rsid w:val="00DA3288"/>
    <w:rsid w:val="00DA4323"/>
    <w:rsid w:val="00DB2388"/>
    <w:rsid w:val="00DB74A0"/>
    <w:rsid w:val="00DE63DD"/>
    <w:rsid w:val="00DF41C0"/>
    <w:rsid w:val="00DF6679"/>
    <w:rsid w:val="00E05633"/>
    <w:rsid w:val="00E17277"/>
    <w:rsid w:val="00E2137B"/>
    <w:rsid w:val="00E37938"/>
    <w:rsid w:val="00E60236"/>
    <w:rsid w:val="00E62B73"/>
    <w:rsid w:val="00E65C5A"/>
    <w:rsid w:val="00E8627F"/>
    <w:rsid w:val="00E904A0"/>
    <w:rsid w:val="00EA18E8"/>
    <w:rsid w:val="00EB2161"/>
    <w:rsid w:val="00EC6D16"/>
    <w:rsid w:val="00EC77D7"/>
    <w:rsid w:val="00F411CE"/>
    <w:rsid w:val="00F81767"/>
    <w:rsid w:val="00F8429C"/>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71"/>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E377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E3779"/>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8E3779"/>
    <w:rPr>
      <w:rFonts w:ascii="Tahoma" w:hAnsi="Tahoma" w:cs="Tahoma"/>
      <w:sz w:val="16"/>
      <w:szCs w:val="16"/>
    </w:rPr>
  </w:style>
  <w:style w:type="character" w:styleId="Lienhypertexte">
    <w:name w:val="Hyperlink"/>
    <w:basedOn w:val="Policepardfaut"/>
    <w:uiPriority w:val="99"/>
    <w:unhideWhenUsed/>
    <w:rsid w:val="0099112C"/>
    <w:rPr>
      <w:color w:val="0000FF" w:themeColor="hyperlink"/>
      <w:u w:val="single"/>
    </w:rPr>
  </w:style>
  <w:style w:type="paragraph" w:styleId="NormalWeb">
    <w:name w:val="Normal (Web)"/>
    <w:basedOn w:val="Normal"/>
    <w:uiPriority w:val="99"/>
    <w:semiHidden/>
    <w:unhideWhenUsed/>
    <w:rsid w:val="0029707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2970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071"/>
    <w:rPr>
      <w:rFonts w:ascii="Calibri" w:eastAsia="Calibri" w:hAnsi="Calibri" w:cs="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E3779"/>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8E3779"/>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8E3779"/>
    <w:rPr>
      <w:rFonts w:ascii="Tahoma" w:hAnsi="Tahoma" w:cs="Tahoma"/>
      <w:sz w:val="16"/>
      <w:szCs w:val="16"/>
    </w:rPr>
  </w:style>
  <w:style w:type="character" w:styleId="Lienhypertexte">
    <w:name w:val="Hyperlink"/>
    <w:basedOn w:val="Policepardfaut"/>
    <w:uiPriority w:val="99"/>
    <w:unhideWhenUsed/>
    <w:rsid w:val="0099112C"/>
    <w:rPr>
      <w:color w:val="0000FF" w:themeColor="hyperlink"/>
      <w:u w:val="single"/>
    </w:rPr>
  </w:style>
  <w:style w:type="paragraph" w:styleId="NormalWeb">
    <w:name w:val="Normal (Web)"/>
    <w:basedOn w:val="Normal"/>
    <w:uiPriority w:val="99"/>
    <w:semiHidden/>
    <w:unhideWhenUsed/>
    <w:rsid w:val="00297071"/>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2970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msatou@yahoo.f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693</Words>
  <Characters>3816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2017-11-17T09:47:00Z</cp:lastPrinted>
  <dcterms:created xsi:type="dcterms:W3CDTF">2018-08-09T08:53:00Z</dcterms:created>
  <dcterms:modified xsi:type="dcterms:W3CDTF">2018-08-09T09:14:00Z</dcterms:modified>
</cp:coreProperties>
</file>